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黑体"/>
          <w:color w:val="auto"/>
          <w:sz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黑体"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黑体"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黑体"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黑体"/>
          <w:color w:val="auto"/>
          <w:sz w:val="44"/>
        </w:rPr>
      </w:pPr>
    </w:p>
    <w:p>
      <w:pPr>
        <w:jc w:val="left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湄职院〔202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号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签发人：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许冬红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</w:p>
    <w:p>
      <w:pPr>
        <w:jc w:val="center"/>
        <w:rPr>
          <w:color w:val="auto"/>
          <w:sz w:val="44"/>
          <w:szCs w:val="44"/>
        </w:rPr>
      </w:pPr>
    </w:p>
    <w:p>
      <w:pPr>
        <w:jc w:val="center"/>
        <w:rPr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关于印发《湄洲湾职业技术学院教职工在职学历进修管理办法（修订稿）》的通知</w:t>
      </w:r>
    </w:p>
    <w:p>
      <w:pPr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院内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经学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院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研究同意，现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将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《湄洲湾职业技术学院教职工在职学历进修管理办法（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修订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稿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）》</w:t>
      </w:r>
      <w:r>
        <w:rPr>
          <w:rFonts w:hint="eastAsia" w:ascii="仿宋" w:hAnsi="仿宋" w:eastAsia="仿宋"/>
          <w:color w:val="auto"/>
          <w:sz w:val="32"/>
          <w:szCs w:val="32"/>
        </w:rPr>
        <w:t>印发给你们，请遵照执行。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湄洲湾职业技术学院</w:t>
      </w:r>
    </w:p>
    <w:p>
      <w:pPr>
        <w:rPr>
          <w:rFonts w:hint="eastAsia" w:ascii="仿宋_GB2312" w:eastAsia="仿宋_GB2312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湄洲湾职业技术学院教职工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在职学历进修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管理办法</w:t>
      </w: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修订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稿）</w:t>
      </w:r>
    </w:p>
    <w:p>
      <w:pPr>
        <w:pStyle w:val="2"/>
        <w:rPr>
          <w:rFonts w:hint="eastAsia"/>
        </w:rPr>
      </w:pPr>
    </w:p>
    <w:p>
      <w:pPr>
        <w:pStyle w:val="3"/>
        <w:spacing w:after="0" w:line="240" w:lineRule="auto"/>
        <w:ind w:left="0"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坚持以习近平新时代中国特色社会主义思想、习近平总书记系列重要讲话精神为指引，深入实施新时代人才强国战略，坚持党对人才工作的全面领导，坚持人才引领发展的战略地位，坚持全方位培养用好人才，坚持深化人才发展体制机制改革，坚持营造识才爱才敬才用才的环境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为进一步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优化学院师资队伍的学历结构，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实施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人才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战略，加强高层次人才队伍建设，推动和鼓励教职工在职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学历进修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的主动性和积极性，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建设一支结构合理、素质精良，适应学院高质量发展的高水平师资队伍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，特制定本办法。</w:t>
      </w:r>
    </w:p>
    <w:p>
      <w:pPr>
        <w:numPr>
          <w:ilvl w:val="0"/>
          <w:numId w:val="0"/>
        </w:numPr>
        <w:ind w:firstLine="0" w:firstLineChars="0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0" w:firstLineChars="0"/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第一章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总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则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第一条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学院鼓励教职工攻读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硕士、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博士学位，对教职工攻读博士给予资助。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第二条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根据学院师资队伍建设规划和专业建设规划，鼓励和选拔骨干教师、工作业绩突出又有发展潜力的教师在职攻读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硕士、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博士学位。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第三条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人事处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教师工作部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组织在职学历进修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教职工与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签订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合同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，约定其毕业后回校工作。不与学院签订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合同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的，根据《事业单位人事管理条例》规定，其连续脱岗时间超过15个工作日者，解除聘用合同（或劳动合同）和人事关系。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第四条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教职工进行学历提升的专业应与本人所从事专业、业务相同或相近；或与学院专业（学科）调整、专业（学科）建设的需要相一致，重点培养中青年骨干教师，着眼于更新和拓展知识结构，提高教学科研能力，促进教师专业梯队建设。</w:t>
      </w:r>
    </w:p>
    <w:p>
      <w:pPr>
        <w:ind w:firstLine="562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第五条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坚持专业课教师优先、向本科申办专业教师倾斜的原则。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条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教职工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在职学历进修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，外出学习期间须经所在单位同意，与所在单位保持联系；若因工作需要，须按要求回校完成有关工作任务。</w:t>
      </w:r>
    </w:p>
    <w:p>
      <w:pPr>
        <w:ind w:firstLine="60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条  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人事处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教师工作部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在职学历进修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人员所在部门要对进修人员实行定期考核和不定期检查，建立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在职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人员进修培训档案。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第二章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培养类别</w:t>
      </w:r>
    </w:p>
    <w:p>
      <w:pPr>
        <w:ind w:firstLine="600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第八条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 xml:space="preserve">  培养类别</w:t>
      </w:r>
    </w:p>
    <w:p>
      <w:pPr>
        <w:ind w:firstLine="600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（一）国（境）内外在职脱产攻读硕士、博士学位；</w:t>
      </w:r>
    </w:p>
    <w:p>
      <w:pPr>
        <w:ind w:firstLine="600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（二）国（境）内外在职不脱产攻读硕士、博士学位；</w:t>
      </w:r>
    </w:p>
    <w:p>
      <w:pPr>
        <w:ind w:firstLine="600"/>
        <w:rPr>
          <w:rFonts w:hint="default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（三）其他不转出人事关系的攻读硕士、博士学位类别。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第三章  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资助对象和申请程序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条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签订书面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合同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承诺毕业后回校工作且符合以下条件之一的教职工（以下简称资助对象）攻读定向、委培性质博士学位，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给予资助：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（一）教师所学专业符合所在学院（部）学科专业发展方向；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（二）党政机关和教辅等部门的工作人员所学专业符合学院（部）学科专业发展方向，毕业后调往相关学院（部）担任专任教师；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（三）党政机关和教辅等部门的工作人员所学专业为现从事岗位需求专业。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考取攻读非定向博士学位人员，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不予资助。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资助对象报考攻读博士学位前，须填写《湄洲湾职业技术学院教职工在职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学历进修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审批表》（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附件1）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专职辅导员填写《湄洲湾职业技术学院专职辅导员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在职学历进修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审批表》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），经所在单位负责人签署意见后报人事处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教师工作部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汇总，上报党委会研究。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副科级以上干部还须按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有关规定程序报批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详见附件1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审批表当年有效，若当年未能被录取，第二年报考须重新审批。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第四章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在职攻读博士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资助和管理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十一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条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考取攻读定向、委培博士学位人员（含人事代理）：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（一）全脱产学习期间给予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助学金，包括基本工资、基础性绩效工资（扣除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代扣代缴有关保险、住房公积金和职业年金等，按月发放），以及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给予配套缴纳有关保险、住房公积金和职业年金等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。学习期间全职返校工作者，按在职在岗人员工资照常发放，所在单位根据其完成工作量情况发放奖励性绩效工资。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（二）为鼓励攻读定向、委培性质博士人员尽快取得博士学位回校工作，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同意其在学制内全脱产学习并给予助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金。若其学习时间超过学制年限，必须全职回校工作，否则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不发放助学金，其应缴纳和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配套缴纳的有关保险、住房公积金和职业年金等均由其本人自行承担。</w:t>
      </w:r>
    </w:p>
    <w:p>
      <w:pPr>
        <w:shd w:val="clear" w:color="auto" w:fill="FFFFFF"/>
        <w:ind w:firstLine="560" w:firstLineChars="200"/>
        <w:jc w:val="left"/>
        <w:outlineLvl w:val="1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（三）取得博士研究生学历、学位回校工作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/>
        </w:rPr>
        <w:t>后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代其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向教育局申请报销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费用（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由</w:t>
      </w:r>
      <w:r>
        <w:rPr>
          <w:rFonts w:hint="eastAsia" w:ascii="仿宋" w:hAnsi="仿宋" w:eastAsia="仿宋" w:cs="仿宋"/>
          <w:bCs w:val="0"/>
          <w:color w:val="auto"/>
          <w:kern w:val="2"/>
          <w:sz w:val="28"/>
          <w:szCs w:val="28"/>
        </w:rPr>
        <w:t>莆田市壶兰教育基金会</w:t>
      </w:r>
      <w:r>
        <w:rPr>
          <w:rFonts w:hint="eastAsia" w:ascii="仿宋" w:hAnsi="仿宋" w:eastAsia="仿宋" w:cs="仿宋"/>
          <w:bCs w:val="0"/>
          <w:color w:val="auto"/>
          <w:kern w:val="2"/>
          <w:sz w:val="28"/>
          <w:szCs w:val="28"/>
          <w:lang w:eastAsia="zh-CN"/>
        </w:rPr>
        <w:t>补助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费用按每人10万元补助（费用低于10万按实际费用补助）。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参照博士毕业当年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人才引进标准给予科研启动费。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）取得博士学位后，评聘上一级专业技术职务时，最高可减免两年工作量。学习期间在岗工作，当年可参加专业技术职务评聘。</w:t>
      </w:r>
    </w:p>
    <w:p>
      <w:pPr>
        <w:ind w:firstLine="562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十二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条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在职攻读国外博士学位：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学习期限一般为24-48个月，具体以留学目的国及院校的学制为准，学习形式利用寒、暑假赴外就学。在职攻读国外博士学位的人员（攻读第二博士学位人员除外），取得博士研究生学历、学位如期回校后（时限最长四年）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代其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向教育局申请报销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费用（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由</w:t>
      </w:r>
      <w:r>
        <w:rPr>
          <w:rFonts w:hint="eastAsia" w:ascii="仿宋" w:hAnsi="仿宋" w:eastAsia="仿宋" w:cs="仿宋"/>
          <w:bCs w:val="0"/>
          <w:color w:val="auto"/>
          <w:kern w:val="2"/>
          <w:sz w:val="28"/>
          <w:szCs w:val="28"/>
        </w:rPr>
        <w:t>莆田市壶兰教育基金会</w:t>
      </w:r>
      <w:r>
        <w:rPr>
          <w:rFonts w:hint="eastAsia" w:ascii="仿宋" w:hAnsi="仿宋" w:eastAsia="仿宋" w:cs="仿宋"/>
          <w:bCs w:val="0"/>
          <w:color w:val="auto"/>
          <w:kern w:val="2"/>
          <w:sz w:val="28"/>
          <w:szCs w:val="28"/>
          <w:lang w:eastAsia="zh-CN"/>
        </w:rPr>
        <w:t>补助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费用按每人10万元补助（费用低于10万按实际费用补助）。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参照博士毕业当年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人才引进标准给予科研启动费。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十三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条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考取攻读非定向性质博士学位人员：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（一）考取攻读非定向性质博士学位的人员，属在编性质的人员，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给予正式解除聘用合同和人事关系，予以核减编制；属人事代理等编外性质的人员，予以解除劳动合同。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（二）攻读非定向博士人员（含人事代理等编外人员）承诺毕业回校工作，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承诺按有关程序予以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优先重新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招聘入编。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（三）在读期间，与所在学院（单位）签订聘用工作合同，约定教学、科研等工作内容。学习期间若因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工作需要回校工作，教师授课由所在学院自主安排一定的劳动报酬，其他人员视承担工作情况由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给予一定劳动报酬。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（四）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毕业重新入编后，入学前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highlight w:val="none"/>
        </w:rPr>
        <w:t>已聘高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highlight w:val="none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highlight w:val="none"/>
        </w:rPr>
        <w:t>职称人员，仍按原职称聘任。</w:t>
      </w:r>
    </w:p>
    <w:p>
      <w:pPr>
        <w:ind w:firstLine="6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资助对象毕业后，应携带博士研究生学历、学位证书到人事处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教师工作部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报到。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在资助对象博士相关学籍材料（人事档案）完整到校后，予以办理费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报销手续。</w:t>
      </w:r>
    </w:p>
    <w:p>
      <w:pPr>
        <w:ind w:firstLine="6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资助对象未能取得博士学位，所有学习费用由本人承担，不予报销并将视情况研究追回其脱产学习期间的助学金。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第五章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在职攻读硕士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资助和管理</w:t>
      </w:r>
    </w:p>
    <w:p>
      <w:pPr>
        <w:numPr>
          <w:ilvl w:val="0"/>
          <w:numId w:val="0"/>
        </w:numPr>
        <w:ind w:leftChars="0" w:firstLine="562" w:firstLineChars="200"/>
        <w:jc w:val="both"/>
        <w:rPr>
          <w:rFonts w:hint="eastAsia" w:ascii="仿宋" w:hAnsi="仿宋" w:eastAsia="仿宋" w:cs="仿宋"/>
          <w:b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条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考取硕士研究生（含攻读硕士学位）的学费根据有关规定不予报销，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取得硕士学位返校服务期间3年内享受500元／月生活津贴。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鼓励在职教师攻读博士学位，取得博士学位返校服务期间5年内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享受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00元／月生活津贴。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章  服务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期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和违约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责任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资助对象取得博士学位后必须至少为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服务十年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取得硕士学位后必须至少为学院服务三年，具体服务期以合同约定为准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在服务期内，资助对象要求调离或申请解聘等，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视其违约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资助对象违约的，应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退还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支付的费用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向学院支付服务期未满年限10000元/年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违约金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ind w:firstLine="548" w:firstLineChars="196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A为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支付的费用包括：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学院代其报销的费用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以及脱产学习期间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发放的助学金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ind w:firstLine="548" w:firstLineChars="196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Y为合同约定的服务期。</w:t>
      </w:r>
    </w:p>
    <w:p>
      <w:pPr>
        <w:ind w:firstLine="548" w:firstLineChars="196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t为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资助对象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取得学位后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回校服务的年数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ind w:firstLine="548" w:firstLineChars="196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资助对象违约应支付费用总额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（M）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计算公式：</w:t>
      </w:r>
    </w:p>
    <w:p>
      <w:pPr>
        <w:ind w:firstLine="548" w:firstLineChars="196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=A（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Y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-t）/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Y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+10000×（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Y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-t）</w:t>
      </w:r>
    </w:p>
    <w:p>
      <w:pPr>
        <w:ind w:firstLine="551" w:firstLineChars="196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条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资助对象在读期间要求调离或申请解聘等离开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，按上述标准退还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支付的费用并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支付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违约金。</w:t>
      </w:r>
    </w:p>
    <w:p>
      <w:pPr>
        <w:ind w:firstLine="551" w:firstLineChars="196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十条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对于违约且拒绝承担违约责任的资助对象，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将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依法解除聘用合同（或劳动合同）和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人事关系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并通过法律途径追究其违约责任。</w:t>
      </w:r>
    </w:p>
    <w:p>
      <w:pPr>
        <w:ind w:firstLine="551" w:firstLineChars="196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攻读非定向并核减编制人员重新入编后，其服务年限和违约金按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人才引进的规定执行。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章  附  则</w:t>
      </w:r>
    </w:p>
    <w:p>
      <w:pPr>
        <w:ind w:firstLine="551" w:firstLineChars="196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本办法自公布之日起执行，以前发布的相关办法与本办法不一致的，以本办法为准。</w:t>
      </w:r>
    </w:p>
    <w:p>
      <w:pPr>
        <w:ind w:firstLine="551" w:firstLineChars="196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条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本办法由人事处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教师工作部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负责解释。</w:t>
      </w:r>
    </w:p>
    <w:p>
      <w:pPr>
        <w:jc w:val="left"/>
        <w:rPr>
          <w:rFonts w:hint="eastAsia" w:ascii="仿宋" w:hAnsi="仿宋" w:eastAsia="仿宋" w:cs="仿宋"/>
          <w:color w:val="auto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41" w:right="1588" w:bottom="1418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湄洲湾职业技术学院教职工在职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学历进修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审批表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246"/>
        <w:gridCol w:w="713"/>
        <w:gridCol w:w="592"/>
        <w:gridCol w:w="150"/>
        <w:gridCol w:w="540"/>
        <w:gridCol w:w="678"/>
        <w:gridCol w:w="653"/>
        <w:gridCol w:w="1114"/>
        <w:gridCol w:w="645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所在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8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所学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毕业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来校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申请报考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报考类别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形式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年限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所需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经费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11"/>
            <w:noWrap w:val="0"/>
            <w:vAlign w:val="top"/>
          </w:tcPr>
          <w:p>
            <w:pPr>
              <w:ind w:firstLine="42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本人同意______________________________________________________________________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___________相关规定。</w:t>
            </w:r>
          </w:p>
          <w:p>
            <w:pP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申请人签名：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所在单位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单位公章             负责人：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单位公章             负责人：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人事处（教师工作部）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单位公章             负责人：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组织部(统战部)意见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(限副科级及以上干部)</w:t>
            </w: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单位公章             负责人：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分管（或挂钩）领导意见</w:t>
            </w: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年    月    日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备注：学位要填写类别，如工学、理学、医学、教育学、法学等。</w:t>
      </w:r>
    </w:p>
    <w:p>
      <w:pPr>
        <w:jc w:val="left"/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湄洲湾职业技术学院专职辅导员在职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学历进修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审批表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246"/>
        <w:gridCol w:w="713"/>
        <w:gridCol w:w="592"/>
        <w:gridCol w:w="150"/>
        <w:gridCol w:w="540"/>
        <w:gridCol w:w="678"/>
        <w:gridCol w:w="653"/>
        <w:gridCol w:w="1114"/>
        <w:gridCol w:w="645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所在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8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所学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毕业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来校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申请报考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报考类别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形式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年限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所需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经费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11"/>
            <w:noWrap w:val="0"/>
            <w:vAlign w:val="top"/>
          </w:tcPr>
          <w:p>
            <w:pPr>
              <w:ind w:firstLine="42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本人同意______________________________________________________________________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___________相关规定。</w:t>
            </w:r>
          </w:p>
          <w:p>
            <w:pP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申请人签名：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所在单位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单位公章             党总支书记：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单位公章                  主任：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学工处(武装部)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单位公章             负责人：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人事处(教师工作部)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单位公章             负责人：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分管(或挂钩)领导意见</w:t>
            </w: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年    月    日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备注：学位要填写类别，如工学、理学、医学、教育学、法学等。</w:t>
      </w:r>
    </w:p>
    <w:p>
      <w:pPr>
        <w:pStyle w:val="2"/>
        <w:ind w:left="0" w:leftChars="0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华文细黑" w:eastAsia="仿宋_GB2312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pStyle w:val="2"/>
        <w:ind w:left="0" w:leftChars="0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spacing w:line="100" w:lineRule="exact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spacing w:line="100" w:lineRule="exact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spacing w:line="100" w:lineRule="exact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spacing w:line="100" w:lineRule="exact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spacing w:line="100" w:lineRule="exact"/>
        <w:rPr>
          <w:rFonts w:hint="eastAsia" w:ascii="仿宋_GB2312" w:hAnsi="华文细黑" w:eastAsia="仿宋_GB2312" w:cs="Times New Roman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华文细黑" w:eastAsia="仿宋_GB2312"/>
          <w:color w:val="auto"/>
          <w:sz w:val="24"/>
        </w:rPr>
      </w:pPr>
    </w:p>
    <w:p>
      <w:pPr>
        <w:spacing w:line="520" w:lineRule="exact"/>
        <w:ind w:left="-1" w:leftChars="-95" w:hanging="198" w:hangingChars="62"/>
        <w:rPr>
          <w:rFonts w:hint="default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color w:val="auto"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38735</wp:posOffset>
                </wp:positionV>
                <wp:extent cx="5805170" cy="330835"/>
                <wp:effectExtent l="0" t="4445" r="5080" b="762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5170" cy="330835"/>
                          <a:chOff x="1500" y="14820"/>
                          <a:chExt cx="9000" cy="552"/>
                        </a:xfrm>
                        <a:effectLst/>
                      </wpg:grpSpPr>
                      <wps:wsp>
                        <wps:cNvPr id="11" name="直线 3"/>
                        <wps:cNvCnPr/>
                        <wps:spPr>
                          <a:xfrm>
                            <a:off x="1500" y="15372"/>
                            <a:ext cx="90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3" name="直线 4"/>
                        <wps:cNvCnPr/>
                        <wps:spPr>
                          <a:xfrm>
                            <a:off x="1500" y="14820"/>
                            <a:ext cx="90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8pt;margin-top:3.05pt;height:26.05pt;width:457.1pt;z-index:251660288;mso-width-relative:page;mso-height-relative:page;" coordorigin="1500,14820" coordsize="9000,552" o:gfxdata="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+5p2XdgAAAAIAQAADwAAAAAAAAABACAAAAAiAAAA&#10;ZHJzL2Rvd25yZXYueG1sUEsBAhQAFAAAAAgAh07iQAiqaIB5AgAAJgcAAA4AAAAAAAAAAQAgAAAA&#10;JwEAAGRycy9lMm9Eb2MueG1sUEsFBgAAAAAGAAYAWQEAABIGAAAAAA==&#10;">
                <o:lock v:ext="edit" aspectratio="f"/>
                <v:line id="直线 3" o:spid="_x0000_s1026" o:spt="20" style="position:absolute;left:1500;top:15372;height:0;width:9000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" o:spid="_x0000_s1026" o:spt="20" style="position:absolute;left:1500;top:14820;height:0;width:9000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湄洲湾职业技术学院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党政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办公室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日印发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</w:p>
    <w:sectPr>
      <w:pgSz w:w="11906" w:h="16838"/>
      <w:pgMar w:top="1641" w:right="1588" w:bottom="1418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-79375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2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7nda9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0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0"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60D0C"/>
    <w:rsid w:val="01960D0C"/>
    <w:rsid w:val="1313680B"/>
    <w:rsid w:val="15461B19"/>
    <w:rsid w:val="180A253E"/>
    <w:rsid w:val="49F1508E"/>
    <w:rsid w:val="772B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2022-06-09T01:18:00Z</dcterms:created>
  <dc:creator>劲阳</dc:creator>
  <cp:lastModifiedBy>劲阳</cp:lastModifiedBy>
  <cp:lastPrinted>2022-07-04T03:59:00Z</cp:lastPrinted>
  <dcterms:modified xsi:type="dcterms:W3CDTF">2022-09-09T03:42:59Z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06F214EBC0CA48FE9F4AFB2C47E4AE65</vt:lpwstr>
  </property>
</Properties>
</file>